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D65D9" w14:textId="27B69D31" w:rsidR="00AD691C" w:rsidRDefault="00AD691C" w:rsidP="00AD691C">
      <w:pPr>
        <w:pStyle w:val="a3"/>
        <w:spacing w:before="0" w:beforeAutospacing="0" w:after="150" w:afterAutospacing="0"/>
        <w:jc w:val="right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Приложение 136 к приказу</w:t>
      </w:r>
      <w:r>
        <w:rPr>
          <w:rFonts w:ascii="Arial" w:hAnsi="Arial" w:cs="Arial"/>
          <w:color w:val="161616"/>
          <w:sz w:val="21"/>
          <w:szCs w:val="21"/>
        </w:rPr>
        <w:br/>
        <w:t>Первого заместителя</w:t>
      </w:r>
      <w:r>
        <w:rPr>
          <w:rFonts w:ascii="Arial" w:hAnsi="Arial" w:cs="Arial"/>
          <w:color w:val="161616"/>
          <w:sz w:val="21"/>
          <w:szCs w:val="21"/>
        </w:rPr>
        <w:br/>
        <w:t>Премьера Министра</w:t>
      </w:r>
      <w:r>
        <w:rPr>
          <w:rFonts w:ascii="Arial" w:hAnsi="Arial" w:cs="Arial"/>
          <w:color w:val="161616"/>
          <w:sz w:val="21"/>
          <w:szCs w:val="21"/>
        </w:rPr>
        <w:br/>
        <w:t>Республики Казахстан –</w:t>
      </w:r>
      <w:r>
        <w:rPr>
          <w:rFonts w:ascii="Arial" w:hAnsi="Arial" w:cs="Arial"/>
          <w:color w:val="161616"/>
          <w:sz w:val="21"/>
          <w:szCs w:val="21"/>
        </w:rPr>
        <w:br/>
        <w:t>Министра финансов</w:t>
      </w:r>
      <w:r>
        <w:rPr>
          <w:rFonts w:ascii="Arial" w:hAnsi="Arial" w:cs="Arial"/>
          <w:color w:val="161616"/>
          <w:sz w:val="21"/>
          <w:szCs w:val="21"/>
        </w:rPr>
        <w:br/>
        <w:t>Республики Казахстан</w:t>
      </w:r>
      <w:r>
        <w:rPr>
          <w:rFonts w:ascii="Arial" w:hAnsi="Arial" w:cs="Arial"/>
          <w:color w:val="161616"/>
          <w:sz w:val="21"/>
          <w:szCs w:val="21"/>
        </w:rPr>
        <w:br/>
        <w:t>от «20» января 2020 года</w:t>
      </w:r>
      <w:r>
        <w:rPr>
          <w:rFonts w:ascii="Arial" w:hAnsi="Arial" w:cs="Arial"/>
          <w:color w:val="161616"/>
          <w:sz w:val="21"/>
          <w:szCs w:val="21"/>
        </w:rPr>
        <w:br/>
        <w:t>№ 39</w:t>
      </w:r>
    </w:p>
    <w:p w14:paraId="6A0915AA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161616"/>
          <w:sz w:val="21"/>
          <w:szCs w:val="21"/>
        </w:rPr>
        <w:br/>
      </w:r>
      <w:r>
        <w:rPr>
          <w:rFonts w:ascii="Arial" w:hAnsi="Arial" w:cs="Arial"/>
          <w:b/>
          <w:bCs/>
          <w:color w:val="161616"/>
          <w:sz w:val="21"/>
          <w:szCs w:val="21"/>
        </w:rPr>
        <w:t>Правила составления налоговой отчетности «Декларация для налогоплательщиков, применяющих специальный налоговый режим розничного налога (форма 913.00)»</w:t>
      </w:r>
    </w:p>
    <w:p w14:paraId="799100C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b/>
          <w:bCs/>
          <w:color w:val="161616"/>
          <w:sz w:val="21"/>
          <w:szCs w:val="21"/>
        </w:rPr>
        <w:t>Глава 1. Общие положения</w:t>
      </w:r>
    </w:p>
    <w:p w14:paraId="4AD8EE2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1. Настоящие Правила составления налоговой отчетности «Декларация для налогоплательщиков, применяющих специальный налоговый режим розничного налога (форма 913.00)» (далее – Правила) разработаны в соответствии с Кодексом Республики Казахстан «О налогах и других обязательных платежах в бюджет (Налоговый кодекс)» (далее – Налоговый кодекс) и определяют порядок составления формы налоговой отчетности «Декларация для налогоплательщиков, применяющих специальный налоговый режим розничного налога» (далее – декларация), предназначенной для исчисления индивидуального (корпоративного) подоходного налога. Декларация составляется налогоплательщиками, применяющими специальный налоговый режим розничного налога.</w:t>
      </w:r>
    </w:p>
    <w:p w14:paraId="7F35FA41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2. Настоящие Правила распространяются на правоотношения, возникшие с 1 января 2023 года.</w:t>
      </w:r>
    </w:p>
    <w:p w14:paraId="54CE7B82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3. При заполнении декларации не допускаются исправления, подчистки и помарки.</w:t>
      </w:r>
    </w:p>
    <w:p w14:paraId="106519A6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4. В настоящих Правилах применяются следующие арифметические знаки: «+» – плюс, «–» – минус, «х» – умножение, «/» – деление, «=» – равно.</w:t>
      </w:r>
      <w:r>
        <w:rPr>
          <w:rFonts w:ascii="Arial" w:hAnsi="Arial" w:cs="Arial"/>
          <w:color w:val="161616"/>
          <w:sz w:val="21"/>
          <w:szCs w:val="21"/>
        </w:rPr>
        <w:br/>
        <w:t>Отрицательные значения сумм обозначаются знаком «–» в первой левой ячейке соответствующей строки декларации.</w:t>
      </w:r>
    </w:p>
    <w:p w14:paraId="1195AC9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5. При отсутствии показателей соответствующие ячейки декларации не заполняются.</w:t>
      </w:r>
    </w:p>
    <w:p w14:paraId="360B6BB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6. При составлении декларации:</w:t>
      </w:r>
    </w:p>
    <w:p w14:paraId="6F30D254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на бумажном носителе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3F01C1D9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в электронной форме заполняется в соответствии со статьей 208 Налогового кодекса.</w:t>
      </w:r>
    </w:p>
    <w:p w14:paraId="417679D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7.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792E4A42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8. При представлении декларации:</w:t>
      </w:r>
    </w:p>
    <w:p w14:paraId="7FE3B58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5DB8812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0A402937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5A79C73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b/>
          <w:bCs/>
          <w:color w:val="161616"/>
          <w:sz w:val="21"/>
          <w:szCs w:val="21"/>
        </w:rPr>
        <w:t>Глава 2. Пояснение по заполнению декларации</w:t>
      </w:r>
    </w:p>
    <w:p w14:paraId="0CDD926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lastRenderedPageBreak/>
        <w:t>9. В разделе «Общая информация о налогоплательщике» налогоплательщик (налоговый агент) указывает следующие данные:</w:t>
      </w:r>
    </w:p>
    <w:p w14:paraId="2B4757E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индивидуальный идентификационный номер (бизнес-идентификационный номер) (далее – ИИН (БИН)) налогоплательщика (налогового агента);</w:t>
      </w:r>
    </w:p>
    <w:p w14:paraId="6B053AB9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налоговый период, за который представляется налоговая отчетность (указывается арабскими цифрами);</w:t>
      </w:r>
    </w:p>
    <w:p w14:paraId="42AAAF50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наименование налогоплательщика указывается фамилия, имя,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  <w:r>
        <w:rPr>
          <w:rFonts w:ascii="Arial" w:hAnsi="Arial" w:cs="Arial"/>
          <w:color w:val="161616"/>
          <w:sz w:val="21"/>
          <w:szCs w:val="21"/>
        </w:rPr>
        <w:br/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 – доверительного управляющего или наименование юридического лица – доверительного управляющего в соответствии с учредительными документами;</w:t>
      </w:r>
    </w:p>
    <w:p w14:paraId="29145D51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4) организационно-правовая форма налогоплательщика.</w:t>
      </w:r>
    </w:p>
    <w:p w14:paraId="0D4CAA52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Ячейка отмечается в строке «юридическое лицо», если налогоплательщик является юридическим лицом, в строке «индивидуальный предприниматель», если налогоплательщик является индивидуальным предпринимателем;</w:t>
      </w:r>
    </w:p>
    <w:p w14:paraId="512EC09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5) вид декларации.</w:t>
      </w:r>
      <w:r>
        <w:rPr>
          <w:rFonts w:ascii="Arial" w:hAnsi="Arial" w:cs="Arial"/>
          <w:color w:val="161616"/>
          <w:sz w:val="21"/>
          <w:szCs w:val="21"/>
        </w:rPr>
        <w:br/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09A0230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6) номер и дата уведомления.</w:t>
      </w:r>
      <w:r>
        <w:rPr>
          <w:rFonts w:ascii="Arial" w:hAnsi="Arial" w:cs="Arial"/>
          <w:color w:val="161616"/>
          <w:sz w:val="21"/>
          <w:szCs w:val="21"/>
        </w:rPr>
        <w:br/>
        <w:t>Ячейки заполняются если представления вида декларации, предусмотренного подпунктом 4) пункта 3 статьи 206 Налогового кодекса;</w:t>
      </w:r>
    </w:p>
    <w:p w14:paraId="5F6D5F4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7) Отдельные категории налогоплательщика в соответствии со статьей 40 Налогового кодекса.</w:t>
      </w:r>
      <w:r>
        <w:rPr>
          <w:rFonts w:ascii="Arial" w:hAnsi="Arial" w:cs="Arial"/>
          <w:color w:val="161616"/>
          <w:sz w:val="21"/>
          <w:szCs w:val="21"/>
        </w:rPr>
        <w:br/>
        <w:t>Ячейки отмечаются, если налогоплательщик относится к одной из категорий, указанных в строке А или В:</w:t>
      </w:r>
      <w:r>
        <w:rPr>
          <w:rFonts w:ascii="Arial" w:hAnsi="Arial" w:cs="Arial"/>
          <w:color w:val="161616"/>
          <w:sz w:val="21"/>
          <w:szCs w:val="21"/>
        </w:rPr>
        <w:br/>
        <w:t>А – доверительный управляющий;</w:t>
      </w:r>
      <w:r>
        <w:rPr>
          <w:rFonts w:ascii="Arial" w:hAnsi="Arial" w:cs="Arial"/>
          <w:color w:val="161616"/>
          <w:sz w:val="21"/>
          <w:szCs w:val="21"/>
        </w:rPr>
        <w:br/>
        <w:t>В – учредитель доверительного управления;</w:t>
      </w:r>
    </w:p>
    <w:p w14:paraId="01EDBB95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8) код валюты указывается в соответствии с приложением 23 «Классификатор валют», утвержденным решением Комиссии Таможенного союза «О классификаторах, используемых для заполнения таможенных деклараций»;</w:t>
      </w:r>
    </w:p>
    <w:p w14:paraId="1841F5D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9) БИН аппарата акимов городов районного значения, села, поселка, сельского округа по месту нахождения индивидуального предпринимателя, которым признается место преимущественного осуществления деятельности, заявленное при постановке на регистрационный учет в органе государственных доходов.</w:t>
      </w:r>
    </w:p>
    <w:p w14:paraId="3581AB47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10. В разделе «Исчисленные налоги»:</w:t>
      </w:r>
    </w:p>
    <w:p w14:paraId="4A948FA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строке 913.00.001 указывается сумма облагаемого дохода от реализации, определяемая:</w:t>
      </w:r>
      <w:r>
        <w:rPr>
          <w:rFonts w:ascii="Arial" w:hAnsi="Arial" w:cs="Arial"/>
          <w:color w:val="161616"/>
          <w:sz w:val="21"/>
          <w:szCs w:val="21"/>
        </w:rPr>
        <w:br/>
        <w:t>юридическим лицом – в соответствии со статьями 225 – 240 Налогового кодекса;</w:t>
      </w:r>
      <w:r>
        <w:rPr>
          <w:rFonts w:ascii="Arial" w:hAnsi="Arial" w:cs="Arial"/>
          <w:color w:val="161616"/>
          <w:sz w:val="21"/>
          <w:szCs w:val="21"/>
        </w:rPr>
        <w:br/>
        <w:t>индивидуальным предпринимателем – аналогично порядку определения совокупного годового дохода в целях исчисления корпоративного подоходного налога, установленного статьей 225 Налогового кодекса, с учетом особенностей, предусмотренных статьями 226 – 240 Налогового кодекса;</w:t>
      </w:r>
    </w:p>
    <w:p w14:paraId="40587AE6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в строке 913.00.001 I указываются суммы доходов, полученные от реализации товаров посредством осуществления электронной торговой площадки;</w:t>
      </w:r>
    </w:p>
    <w:p w14:paraId="1D6F92F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в строке 913.00.002 указывается сумма расходов работодателя по доходам его сотрудников;</w:t>
      </w:r>
    </w:p>
    <w:p w14:paraId="5C66A7A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4) в строке 913.00.003 указывается среднесписочная численность работников за налоговый период, в том числе:</w:t>
      </w:r>
      <w:r>
        <w:rPr>
          <w:rFonts w:ascii="Arial" w:hAnsi="Arial" w:cs="Arial"/>
          <w:color w:val="161616"/>
          <w:sz w:val="21"/>
          <w:szCs w:val="21"/>
        </w:rPr>
        <w:br/>
        <w:t>в строке 913.00.003 I указывается среднесписочная численность работников за налоговый период – пенсионеров;</w:t>
      </w:r>
      <w:r>
        <w:rPr>
          <w:rFonts w:ascii="Arial" w:hAnsi="Arial" w:cs="Arial"/>
          <w:color w:val="161616"/>
          <w:sz w:val="21"/>
          <w:szCs w:val="21"/>
        </w:rPr>
        <w:br/>
        <w:t xml:space="preserve">в строке 913.00.003 II указывается среднесписочная численность работников за налоговый </w:t>
      </w:r>
      <w:r>
        <w:rPr>
          <w:rFonts w:ascii="Arial" w:hAnsi="Arial" w:cs="Arial"/>
          <w:color w:val="161616"/>
          <w:sz w:val="21"/>
          <w:szCs w:val="21"/>
        </w:rPr>
        <w:lastRenderedPageBreak/>
        <w:t>период – инвалидов.</w:t>
      </w:r>
      <w:r>
        <w:rPr>
          <w:rFonts w:ascii="Arial" w:hAnsi="Arial" w:cs="Arial"/>
          <w:color w:val="161616"/>
          <w:sz w:val="21"/>
          <w:szCs w:val="21"/>
        </w:rPr>
        <w:br/>
        <w:t>Среднесписочная численность работников за налоговый период определяется путем суммирования количества работников за каждый месяц налогового периода и деленная на общее количество месяцев налогового периода. Если среднесписочная численность работников за налоговый период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14:paraId="693BD21E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5) в строке 913.00.004 указывается сумма исчисленных налогов (КПН/ИПН).</w:t>
      </w:r>
    </w:p>
    <w:p w14:paraId="36F8B82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11. В разделе «Сведения о расходов, запасах» заполняются по итогам года в декларации за соответствующий период 4-го квартала. Данный раздел относится к справочной информации, заполняется для сведения:</w:t>
      </w:r>
    </w:p>
    <w:p w14:paraId="7EBE1957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строках 913.00.005 отражаются:</w:t>
      </w:r>
      <w:r>
        <w:rPr>
          <w:rFonts w:ascii="Arial" w:hAnsi="Arial" w:cs="Arial"/>
          <w:color w:val="161616"/>
          <w:sz w:val="21"/>
          <w:szCs w:val="21"/>
        </w:rPr>
        <w:br/>
        <w:t>в строке 913.00.005 I запасы на начало календарного года;</w:t>
      </w:r>
      <w:r>
        <w:rPr>
          <w:rFonts w:ascii="Arial" w:hAnsi="Arial" w:cs="Arial"/>
          <w:color w:val="161616"/>
          <w:sz w:val="21"/>
          <w:szCs w:val="21"/>
        </w:rPr>
        <w:br/>
        <w:t>в строке 913.00.005 II запасы на конец календарного года;</w:t>
      </w:r>
      <w:r>
        <w:rPr>
          <w:rFonts w:ascii="Arial" w:hAnsi="Arial" w:cs="Arial"/>
          <w:color w:val="161616"/>
          <w:sz w:val="21"/>
          <w:szCs w:val="21"/>
        </w:rPr>
        <w:br/>
        <w:t>в строке 913.00.005 III приобретенные за календарный год;</w:t>
      </w:r>
      <w:r>
        <w:rPr>
          <w:rFonts w:ascii="Arial" w:hAnsi="Arial" w:cs="Arial"/>
          <w:color w:val="161616"/>
          <w:sz w:val="21"/>
          <w:szCs w:val="21"/>
        </w:rPr>
        <w:br/>
        <w:t>2) в строке 913.00.006 отражаются расходы за календарный год, всего.</w:t>
      </w:r>
    </w:p>
    <w:p w14:paraId="5DDF28F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12. В разделе «Ответственность налогоплательщика (налогового агента)»:</w:t>
      </w:r>
    </w:p>
    <w:p w14:paraId="5534AB5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учредительными документами.</w:t>
      </w:r>
      <w:r>
        <w:rPr>
          <w:rFonts w:ascii="Arial" w:hAnsi="Arial" w:cs="Arial"/>
          <w:color w:val="161616"/>
          <w:sz w:val="21"/>
          <w:szCs w:val="21"/>
        </w:rPr>
        <w:br/>
        <w:t>Если декларация представляется физическим лицом, в поле указывается фамилия, имя, отчество (при его наличии) налогоплательщика, которое заполняются в соответствии с документами, удостоверяющими личность;</w:t>
      </w:r>
    </w:p>
    <w:p w14:paraId="609EB166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дата подачи декларации в орган государственных доходов;</w:t>
      </w:r>
    </w:p>
    <w:p w14:paraId="4308931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код органа государственных доходов по месту нахождения налогоплательщика.</w:t>
      </w:r>
    </w:p>
    <w:p w14:paraId="3B007915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  <w:r>
        <w:rPr>
          <w:rFonts w:ascii="Arial" w:hAnsi="Arial" w:cs="Arial"/>
          <w:color w:val="161616"/>
          <w:sz w:val="21"/>
          <w:szCs w:val="21"/>
        </w:rPr>
        <w:br/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  <w:r>
        <w:rPr>
          <w:rFonts w:ascii="Arial" w:hAnsi="Arial" w:cs="Arial"/>
          <w:color w:val="161616"/>
          <w:sz w:val="21"/>
          <w:szCs w:val="21"/>
        </w:rPr>
        <w:br/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1C31E14A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4) в поле «Фамилия, имя, отчество (при его наличии) должностного лица, принявшего декларацию» указывается фамилия, имя, отчество (при его наличии) работника органа государственных доходов, принявшего декларацию;</w:t>
      </w:r>
    </w:p>
    <w:p w14:paraId="409C9260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5) дата приема декларации должностным лицом в соответствии с пунктом 2 статьи 209 Налогового кодекса;</w:t>
      </w:r>
    </w:p>
    <w:p w14:paraId="51A83315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6) входящий номер декларации, присваиваемый органом государственных доходов;</w:t>
      </w:r>
    </w:p>
    <w:p w14:paraId="3CBC8E09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7) дата почтового штемпеля, проставленного почтовой или иной организацией связи.</w:t>
      </w:r>
    </w:p>
    <w:p w14:paraId="28A1CE35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270800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b/>
          <w:bCs/>
          <w:color w:val="161616"/>
          <w:sz w:val="21"/>
          <w:szCs w:val="21"/>
        </w:rPr>
        <w:t>Глава 3. Пояснение по заполнению приложения 1 к Декларации формы – 913.01 Исчисление налоговых обязательств по налогоплательщикам, применяющих специальный налоговый режим розничного налога</w:t>
      </w:r>
    </w:p>
    <w:p w14:paraId="10ED406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13. в Разделе «Общая информация о налогоплательщике» приложения 1 к Декларации, данные о ИИН/БИН налогоплательщика и о налоговом периоде, за который представляется налоговая отчетность указываются согласно подпунктов 1) и 2) пункта 9 настоящих Правил, и в строке о количестве мест осуществления деятельности, указывается количество мест осуществляемой деятельности, отраженных в данном приложений.</w:t>
      </w:r>
    </w:p>
    <w:p w14:paraId="78CD56E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lastRenderedPageBreak/>
        <w:t>14. В разделе «Информация о месте осуществления деятельности»:</w:t>
      </w:r>
    </w:p>
    <w:p w14:paraId="788CF7A5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графе А отражается очередной порядковый номер;</w:t>
      </w:r>
    </w:p>
    <w:p w14:paraId="530579A3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 xml:space="preserve">2) в графе В отражается код Управления государственных доходов по месту фактически осуществляемой деятельности (например, индивидуальный предприниматель зарегистрирован по месту нахождения в Управлении государственных доходов (далее – УГД) по району Байконур города Астаны. Также имеются объекты в других УГД – по </w:t>
      </w:r>
      <w:proofErr w:type="spellStart"/>
      <w:r>
        <w:rPr>
          <w:rFonts w:ascii="Arial" w:hAnsi="Arial" w:cs="Arial"/>
          <w:color w:val="161616"/>
          <w:sz w:val="21"/>
          <w:szCs w:val="21"/>
        </w:rPr>
        <w:t>Есильскому</w:t>
      </w:r>
      <w:proofErr w:type="spellEnd"/>
      <w:r>
        <w:rPr>
          <w:rFonts w:ascii="Arial" w:hAnsi="Arial" w:cs="Arial"/>
          <w:color w:val="161616"/>
          <w:sz w:val="21"/>
          <w:szCs w:val="21"/>
        </w:rPr>
        <w:t xml:space="preserve"> району города Астаны, по Целиноградскому району </w:t>
      </w:r>
      <w:proofErr w:type="spellStart"/>
      <w:r>
        <w:rPr>
          <w:rFonts w:ascii="Arial" w:hAnsi="Arial" w:cs="Arial"/>
          <w:color w:val="161616"/>
          <w:sz w:val="21"/>
          <w:szCs w:val="21"/>
        </w:rPr>
        <w:t>Акмолинской</w:t>
      </w:r>
      <w:proofErr w:type="spellEnd"/>
      <w:r>
        <w:rPr>
          <w:rFonts w:ascii="Arial" w:hAnsi="Arial" w:cs="Arial"/>
          <w:color w:val="161616"/>
          <w:sz w:val="21"/>
          <w:szCs w:val="21"/>
        </w:rPr>
        <w:t xml:space="preserve"> области, по </w:t>
      </w:r>
      <w:proofErr w:type="spellStart"/>
      <w:r>
        <w:rPr>
          <w:rFonts w:ascii="Arial" w:hAnsi="Arial" w:cs="Arial"/>
          <w:color w:val="161616"/>
          <w:sz w:val="21"/>
          <w:szCs w:val="21"/>
        </w:rPr>
        <w:t>Ауэзовскому</w:t>
      </w:r>
      <w:proofErr w:type="spellEnd"/>
      <w:r>
        <w:rPr>
          <w:rFonts w:ascii="Arial" w:hAnsi="Arial" w:cs="Arial"/>
          <w:color w:val="161616"/>
          <w:sz w:val="21"/>
          <w:szCs w:val="21"/>
        </w:rPr>
        <w:t xml:space="preserve"> району города Алматы, соответственно в графе В отражаются все соответствующие УГД);</w:t>
      </w:r>
    </w:p>
    <w:p w14:paraId="1418566E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в графе C отражается город, село, где осуществляется деятельность;</w:t>
      </w:r>
    </w:p>
    <w:p w14:paraId="04B8893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4) в графе D отражается улица, проспект, микрорайон или квартал, где осуществляется деятельность;</w:t>
      </w:r>
    </w:p>
    <w:p w14:paraId="3675A361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5) в графе E отражается номер дома, где осуществляется деятельность;</w:t>
      </w:r>
    </w:p>
    <w:p w14:paraId="5A099F3F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6) в графе F отражается номер квартиры, офиса (комнаты, иного помещения), где осуществляется деятельность.</w:t>
      </w:r>
    </w:p>
    <w:p w14:paraId="3E2F1A04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15. В разделе «Исчисленные налоги» указываются следующие данные:</w:t>
      </w:r>
    </w:p>
    <w:p w14:paraId="3005D509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1) в строке 913.01.001 отражается сумма расходов работодателя по доходам его работников.</w:t>
      </w:r>
      <w:r>
        <w:rPr>
          <w:rFonts w:ascii="Arial" w:hAnsi="Arial" w:cs="Arial"/>
          <w:color w:val="161616"/>
          <w:sz w:val="21"/>
          <w:szCs w:val="21"/>
        </w:rPr>
        <w:br/>
        <w:t xml:space="preserve">Сумма, указанная в строке </w:t>
      </w:r>
      <w:proofErr w:type="gramStart"/>
      <w:r>
        <w:rPr>
          <w:rFonts w:ascii="Arial" w:hAnsi="Arial" w:cs="Arial"/>
          <w:color w:val="161616"/>
          <w:sz w:val="21"/>
          <w:szCs w:val="21"/>
        </w:rPr>
        <w:t>913.01.001</w:t>
      </w:r>
      <w:proofErr w:type="gramEnd"/>
      <w:r>
        <w:rPr>
          <w:rFonts w:ascii="Arial" w:hAnsi="Arial" w:cs="Arial"/>
          <w:color w:val="161616"/>
          <w:sz w:val="21"/>
          <w:szCs w:val="21"/>
        </w:rPr>
        <w:t xml:space="preserve"> переносится в основную декларацию в строку 913.00.002;</w:t>
      </w:r>
    </w:p>
    <w:p w14:paraId="6ACA7BFB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2) в графе G отражается соответствующая ставка, которая применяется в специальном налоговом режиме розничного налога, то есть 4 %, 8% и ставка, размер которой утвержден решением местного представительного органа с учетом снижения не более чем на 50 %;</w:t>
      </w:r>
    </w:p>
    <w:p w14:paraId="7503317C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3) в графе H отражается сумма дохода, определяемая совокупно за налоговый период в общеустановленном порядке:</w:t>
      </w:r>
      <w:r>
        <w:rPr>
          <w:rFonts w:ascii="Arial" w:hAnsi="Arial" w:cs="Arial"/>
          <w:color w:val="161616"/>
          <w:sz w:val="21"/>
          <w:szCs w:val="21"/>
        </w:rPr>
        <w:br/>
        <w:t>юридическим лицом – в соответствии со статьями 225 – 240 Налогового кодекса;</w:t>
      </w:r>
      <w:r>
        <w:rPr>
          <w:rFonts w:ascii="Arial" w:hAnsi="Arial" w:cs="Arial"/>
          <w:color w:val="161616"/>
          <w:sz w:val="21"/>
          <w:szCs w:val="21"/>
        </w:rPr>
        <w:br/>
        <w:t>индивидуальным предпринимателем – аналогично порядку определения совокупного годового дохода в целях исчисления корпоративного подоходного налога, установленного статьей 225 Налогового кодекса, с учетом особенностей, предусмотренных статьями 226 – 240 Налогового кодекса.</w:t>
      </w:r>
      <w:r>
        <w:rPr>
          <w:rFonts w:ascii="Arial" w:hAnsi="Arial" w:cs="Arial"/>
          <w:color w:val="161616"/>
          <w:sz w:val="21"/>
          <w:szCs w:val="21"/>
        </w:rPr>
        <w:br/>
        <w:t>Итоговая строка графы H переносится в основную декларацию в строку 913.00.001;</w:t>
      </w:r>
    </w:p>
    <w:p w14:paraId="168E5211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4) в графе I отражается удельный вес (%) облагаемого дохода в общей сумме облагаемого дохода, отраженной в итоговой графе H (например, сумма облагаемого дохода (графа «H») 300 000 тенге, итоговая сумма облагаемого дохода – 500 000 тенге. 300 000 / 500 000 *100 = 60%);</w:t>
      </w:r>
    </w:p>
    <w:p w14:paraId="6CEF1EEE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5) в графе J отражается сумма дохода, с учетом уменьшения на сумму расходов работодателя по доходам его работников (например, сумма облагаемого дохода (графа «H») 300 000 тенге, сумма расходов работодателя по доходам его работников (913.01.001) – 80 000 тенге, удельный вес облагаемого дохода 60%. Итого 300 000 – (80 000 Х 60%) = 252 000 тенге. То есть в графе J отражается сумма 252 000 тенге);</w:t>
      </w:r>
    </w:p>
    <w:p w14:paraId="2C82789D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6) в графе K отражаются суммы исчисленных налогов (КПН/ИПН), которые определяются следующей формулой: сумма дохода, с учетом уменьшения на сумму расходов работодателя по доходам его работников умножается на ставку, отраженную в графе G.</w:t>
      </w:r>
    </w:p>
    <w:p w14:paraId="2459E518" w14:textId="77777777" w:rsidR="00AD691C" w:rsidRDefault="00AD691C" w:rsidP="00AD691C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161616"/>
          <w:sz w:val="21"/>
          <w:szCs w:val="21"/>
        </w:rPr>
      </w:pPr>
      <w:r>
        <w:rPr>
          <w:rFonts w:ascii="Arial" w:hAnsi="Arial" w:cs="Arial"/>
          <w:color w:val="161616"/>
          <w:sz w:val="21"/>
          <w:szCs w:val="21"/>
        </w:rPr>
        <w:t>Итоговая строка по графе K переноситься в основную декларацию в строку 913.00.004.</w:t>
      </w:r>
    </w:p>
    <w:p w14:paraId="63604144" w14:textId="77777777" w:rsidR="002F09FF" w:rsidRDefault="002F09FF"/>
    <w:sectPr w:rsidR="002F0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529"/>
    <w:rsid w:val="002F09FF"/>
    <w:rsid w:val="00AD691C"/>
    <w:rsid w:val="00B3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8A09D"/>
  <w15:chartTrackingRefBased/>
  <w15:docId w15:val="{CA8256DD-0BCF-43C1-8A79-FD9F755B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57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0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5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1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1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8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8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8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500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4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4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7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6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9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6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2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50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47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33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4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0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1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6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8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8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6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9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74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7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9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9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9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0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2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2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14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3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0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8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82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17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7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0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0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7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34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4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5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1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8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8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35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7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52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7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3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2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29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00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9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66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8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7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1888</Words>
  <Characters>10768</Characters>
  <Application>Microsoft Office Word</Application>
  <DocSecurity>0</DocSecurity>
  <Lines>89</Lines>
  <Paragraphs>25</Paragraphs>
  <ScaleCrop>false</ScaleCrop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2023-07-27T03:36:00Z</dcterms:created>
  <dcterms:modified xsi:type="dcterms:W3CDTF">2023-07-27T03:37:00Z</dcterms:modified>
</cp:coreProperties>
</file>